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93" w:rsidRDefault="00D85E93" w:rsidP="004B40A8">
      <w:pPr>
        <w:jc w:val="center"/>
        <w:rPr>
          <w:rFonts w:ascii="Arial Unicode MS" w:eastAsia="Arial Unicode MS" w:hAnsi="Arial Unicode MS" w:cs="Arial Unicode MS"/>
          <w:b/>
          <w:bCs/>
          <w:lang w:val="en-US"/>
        </w:rPr>
      </w:pPr>
    </w:p>
    <w:p w:rsidR="00D85E93" w:rsidRDefault="00B223CE" w:rsidP="004B40A8">
      <w:pPr>
        <w:jc w:val="center"/>
        <w:rPr>
          <w:rFonts w:ascii="Arial Unicode MS" w:eastAsia="Arial Unicode MS" w:hAnsi="Arial Unicode MS" w:cs="Arial Unicode MS"/>
          <w:b/>
          <w:bCs/>
          <w:lang w:val="en-US"/>
        </w:rPr>
      </w:pPr>
      <w:r w:rsidRPr="00B223C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45pt;margin-top:2.45pt;width:141pt;height:59.25pt;z-index:251657728" filled="f" stroked="f">
            <v:textbox style="mso-next-textbox:#_x0000_s1026">
              <w:txbxContent>
                <w:p w:rsidR="00FF21C3" w:rsidRPr="00463405" w:rsidRDefault="00FF21C3" w:rsidP="00EA141B">
                  <w:pPr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</w:pPr>
                  <w:r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 xml:space="preserve">Αριθ. </w:t>
                  </w:r>
                  <w:proofErr w:type="spellStart"/>
                  <w:r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Πρωτ</w:t>
                  </w:r>
                  <w:proofErr w:type="spellEnd"/>
                  <w:r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 xml:space="preserve">.: </w:t>
                  </w:r>
                  <w:r w:rsidR="009B01E1"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 xml:space="preserve"> </w:t>
                  </w:r>
                  <w:r w:rsidR="0036696B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7141</w:t>
                  </w:r>
                </w:p>
                <w:p w:rsidR="00B356D6" w:rsidRPr="00463405" w:rsidRDefault="00B356D6" w:rsidP="00EA141B">
                  <w:pPr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</w:pPr>
                </w:p>
                <w:p w:rsidR="00FF21C3" w:rsidRPr="00463405" w:rsidRDefault="00FF21C3" w:rsidP="00EA141B">
                  <w:pPr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</w:pPr>
                  <w:r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 xml:space="preserve">Πάτρα:  </w:t>
                  </w:r>
                  <w:r w:rsidR="0036696B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28</w:t>
                  </w:r>
                  <w:r w:rsidR="00463405"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-</w:t>
                  </w:r>
                  <w:r w:rsidR="0036696B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12</w:t>
                  </w:r>
                  <w:r w:rsidR="00463405" w:rsidRPr="00463405">
                    <w:rPr>
                      <w:rFonts w:ascii="Century Gothic" w:eastAsia="Times New Roman" w:hAnsi="Century Gothic" w:cs="Helvetica"/>
                      <w:b/>
                      <w:color w:val="1D2228"/>
                      <w:sz w:val="26"/>
                      <w:szCs w:val="26"/>
                      <w:lang w:eastAsia="el-GR"/>
                    </w:rPr>
                    <w:t>-2020</w:t>
                  </w:r>
                </w:p>
              </w:txbxContent>
            </v:textbox>
            <w10:wrap type="square"/>
          </v:shape>
        </w:pict>
      </w:r>
    </w:p>
    <w:p w:rsidR="00EA141B" w:rsidRDefault="00EA141B" w:rsidP="00EA141B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1E19E2" w:rsidRPr="00AD17EC" w:rsidRDefault="00EA141B" w:rsidP="00AD17EC">
      <w:pPr>
        <w:ind w:firstLine="720"/>
      </w:pPr>
      <w:r>
        <w:t xml:space="preserve">  </w:t>
      </w:r>
    </w:p>
    <w:p w:rsidR="009120F0" w:rsidRDefault="009120F0" w:rsidP="00463405">
      <w:pPr>
        <w:rPr>
          <w:rFonts w:ascii="Segoe UI" w:hAnsi="Segoe UI" w:cs="Segoe UI"/>
          <w:b/>
          <w:color w:val="1D2228"/>
          <w:sz w:val="26"/>
          <w:szCs w:val="26"/>
          <w:shd w:val="clear" w:color="auto" w:fill="FFFFFF"/>
        </w:rPr>
      </w:pPr>
    </w:p>
    <w:p w:rsidR="00AD17EC" w:rsidRPr="00463405" w:rsidRDefault="00EA141B" w:rsidP="00463405">
      <w:pPr>
        <w:jc w:val="center"/>
        <w:rPr>
          <w:rFonts w:ascii="Segoe UI" w:hAnsi="Segoe UI" w:cs="Segoe UI"/>
          <w:b/>
          <w:color w:val="1D2228"/>
          <w:sz w:val="28"/>
          <w:szCs w:val="26"/>
          <w:shd w:val="clear" w:color="auto" w:fill="FFFFFF"/>
        </w:rPr>
      </w:pPr>
      <w:r w:rsidRPr="00463405">
        <w:rPr>
          <w:rFonts w:ascii="Segoe UI" w:hAnsi="Segoe UI" w:cs="Segoe UI"/>
          <w:b/>
          <w:color w:val="1D2228"/>
          <w:sz w:val="28"/>
          <w:szCs w:val="26"/>
          <w:shd w:val="clear" w:color="auto" w:fill="FFFFFF"/>
        </w:rPr>
        <w:t>ΔΕΛΤΙΟ ΤΥΠΟΥ</w:t>
      </w:r>
    </w:p>
    <w:p w:rsidR="009120F0" w:rsidRPr="00463405" w:rsidRDefault="009120F0" w:rsidP="00D92117">
      <w:pPr>
        <w:jc w:val="center"/>
        <w:rPr>
          <w:rStyle w:val="a6"/>
          <w:rFonts w:asciiTheme="minorHAnsi" w:hAnsiTheme="minorHAnsi" w:cs="Segoe UI"/>
          <w:bCs w:val="0"/>
          <w:color w:val="1D2228"/>
          <w:sz w:val="26"/>
          <w:szCs w:val="26"/>
          <w:shd w:val="clear" w:color="auto" w:fill="FFFFFF"/>
        </w:rPr>
      </w:pPr>
    </w:p>
    <w:p w:rsidR="00D1729C" w:rsidRDefault="00463405" w:rsidP="00D1729C">
      <w:pPr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  <w:r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 xml:space="preserve">Θέμα: </w:t>
      </w:r>
      <w:r w:rsidR="00D1729C"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>«</w:t>
      </w:r>
      <w:proofErr w:type="spellStart"/>
      <w:r w:rsidR="0036696B" w:rsidRPr="0036696B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>Oι</w:t>
      </w:r>
      <w:proofErr w:type="spellEnd"/>
      <w:r w:rsidR="0036696B" w:rsidRPr="0036696B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 xml:space="preserve"> ιατρικές οδηγίες ως κυρίαρχο εργαλείο διαχείρισης του εμβολιασμού κατά του SARS-COV-2</w:t>
      </w:r>
      <w:r w:rsidR="00D1729C" w:rsidRPr="0036696B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>»</w:t>
      </w:r>
    </w:p>
    <w:p w:rsidR="0036696B" w:rsidRDefault="0036696B" w:rsidP="00D1729C">
      <w:pPr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 xml:space="preserve">Με μεγάλη επιτυχία διενεργήθηκε το </w:t>
      </w:r>
      <w:proofErr w:type="spellStart"/>
      <w:r>
        <w:rPr>
          <w:rFonts w:ascii="Arial" w:hAnsi="Arial" w:cs="Arial"/>
          <w:color w:val="1D2228"/>
        </w:rPr>
        <w:t>webinar</w:t>
      </w:r>
      <w:proofErr w:type="spellEnd"/>
      <w:r>
        <w:rPr>
          <w:rFonts w:ascii="Arial" w:hAnsi="Arial" w:cs="Arial"/>
          <w:color w:val="1D2228"/>
        </w:rPr>
        <w:t xml:space="preserve"> του Ιατρικού Συλλόγου Πατρών: "Οι ιατρικές οδηγίες ως κυρίαρχο εργαλείο διαχείρισης του εμβολιασμού κατά του SARS-COV-2" την Τετάρτη 23/12/2020. 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Εκτός από τους ομιλητές, συμμετείχαν στις εργασίες της διαδικτυακής ημερίδας ο Πρόεδρος του ΠΙΣ, κος Εξαδάκτυλος Αθανάσιος, Πρόεδροι Ιατρικών Συλλόγων, Διευθυντές και προσωπικό κέντρων υγείας, ιατροί του δημοσίου και ιδιωτικού τομέα, εκπρόσωποι υγειονομικών φορέων και πολίτες.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 xml:space="preserve">Η διαδικτυακή </w:t>
      </w:r>
      <w:proofErr w:type="spellStart"/>
      <w:r>
        <w:rPr>
          <w:rFonts w:ascii="Arial" w:hAnsi="Arial" w:cs="Arial"/>
          <w:color w:val="1D2228"/>
        </w:rPr>
        <w:t>επισκεψιμότητα</w:t>
      </w:r>
      <w:proofErr w:type="spellEnd"/>
      <w:r>
        <w:rPr>
          <w:rFonts w:ascii="Arial" w:hAnsi="Arial" w:cs="Arial"/>
          <w:color w:val="1D2228"/>
        </w:rPr>
        <w:t xml:space="preserve"> ξεπέρασε κάθε προσδοκία, αποτυπώνοντας το ενδιαφέρον της κοινωνίας στην εμπεριστατωμένη ενημέρωση σχετικά με τον επερχόμενο εμβολιασμό κατά του ιού SARS-COV-2.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Από τις εργασίες της ημερίδας, προέκυψαν τα ακόλουθα συμπεράσματα: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Το εμβόλιο κατά του SARS-COV-2 αποτελεί </w:t>
      </w:r>
      <w:r>
        <w:rPr>
          <w:rFonts w:ascii="Arial" w:hAnsi="Arial" w:cs="Arial"/>
          <w:b/>
          <w:bCs/>
          <w:color w:val="1D2228"/>
        </w:rPr>
        <w:t>ιστορικό επίτευγμα</w:t>
      </w:r>
      <w:r>
        <w:rPr>
          <w:rFonts w:ascii="Arial" w:hAnsi="Arial" w:cs="Arial"/>
          <w:color w:val="1D2228"/>
        </w:rPr>
        <w:t xml:space="preserve">, που στηρίχθηκε σε ένα μοντέλο με μεγάλη χρηματοδοτική βάση, σύμπτυξη φάσεων </w:t>
      </w:r>
      <w:proofErr w:type="spellStart"/>
      <w:r>
        <w:rPr>
          <w:rFonts w:ascii="Arial" w:hAnsi="Arial" w:cs="Arial"/>
          <w:color w:val="1D2228"/>
        </w:rPr>
        <w:t>προκλινικής</w:t>
      </w:r>
      <w:proofErr w:type="spellEnd"/>
      <w:r>
        <w:rPr>
          <w:rFonts w:ascii="Arial" w:hAnsi="Arial" w:cs="Arial"/>
          <w:color w:val="1D2228"/>
        </w:rPr>
        <w:t xml:space="preserve"> μελέτης Ι,ΙΙ,ΙΙΙ, ανάπτυξη διεθνών συνεργασιών, αθρόα συμμετοχή πληθυσμού και διαρκείς αξιολογήσεις κατά τη διάρκεια του χρόνου από τις ρυθμιστικές αρχές, χωρίς καμία έκπτωση στον έλεγχο της ασφάλειας των εμβολίων. 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Τα εγκεκριμένα εμβόλια από τις ρυθμιστικές αρχές (FDA, EMA) είναι </w:t>
      </w:r>
      <w:r>
        <w:rPr>
          <w:rFonts w:ascii="Arial" w:hAnsi="Arial" w:cs="Arial"/>
          <w:b/>
          <w:bCs/>
          <w:color w:val="1D2228"/>
        </w:rPr>
        <w:t>ασφαλή και αποτελεσματικά</w:t>
      </w:r>
      <w:r>
        <w:rPr>
          <w:rFonts w:ascii="Arial" w:hAnsi="Arial" w:cs="Arial"/>
          <w:color w:val="1D2228"/>
        </w:rPr>
        <w:t>. Πολλά άλλα εμβόλια αναμένεται σύντομα να προστεθούν σε ένα μακρύ κατάλογο εταιρειών που θα καταθέσουν αντίστοιχα αιτήματα έγκρισης. 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 xml:space="preserve">Τα εμβόλια </w:t>
      </w:r>
      <w:proofErr w:type="spellStart"/>
      <w:r>
        <w:rPr>
          <w:rFonts w:ascii="Arial" w:hAnsi="Arial" w:cs="Arial"/>
          <w:color w:val="1D2228"/>
        </w:rPr>
        <w:t>mRNA</w:t>
      </w:r>
      <w:proofErr w:type="spellEnd"/>
      <w:r>
        <w:rPr>
          <w:rFonts w:ascii="Arial" w:hAnsi="Arial" w:cs="Arial"/>
          <w:color w:val="1D2228"/>
        </w:rPr>
        <w:t xml:space="preserve"> δεν εισέρχονται στον πυρήνα του κυττάρου, τα εμβόλια c-DNA είναι </w:t>
      </w:r>
      <w:proofErr w:type="spellStart"/>
      <w:r>
        <w:rPr>
          <w:rFonts w:ascii="Arial" w:hAnsi="Arial" w:cs="Arial"/>
          <w:color w:val="1D2228"/>
        </w:rPr>
        <w:t>πολυδοκιμασμένα</w:t>
      </w:r>
      <w:proofErr w:type="spellEnd"/>
      <w:r>
        <w:rPr>
          <w:rFonts w:ascii="Arial" w:hAnsi="Arial" w:cs="Arial"/>
          <w:color w:val="1D2228"/>
        </w:rPr>
        <w:t> εμβόλια ενώ αναμένονται τα αποτελέσματα και από άλλες πλατφόρμες εμβολίων. </w:t>
      </w:r>
      <w:r>
        <w:rPr>
          <w:rFonts w:ascii="Arial" w:hAnsi="Arial" w:cs="Arial"/>
          <w:b/>
          <w:bCs/>
          <w:color w:val="1D2228"/>
        </w:rPr>
        <w:t xml:space="preserve">Κανένα εμβόλιο κατά του SARS-COV-2 δεν έχει τη δυνατότητα να αλληλεπιδρά με το </w:t>
      </w:r>
      <w:proofErr w:type="spellStart"/>
      <w:r>
        <w:rPr>
          <w:rFonts w:ascii="Arial" w:hAnsi="Arial" w:cs="Arial"/>
          <w:b/>
          <w:bCs/>
          <w:color w:val="1D2228"/>
        </w:rPr>
        <w:t>γονιδίωμά</w:t>
      </w:r>
      <w:proofErr w:type="spellEnd"/>
      <w:r>
        <w:rPr>
          <w:rFonts w:ascii="Arial" w:hAnsi="Arial" w:cs="Arial"/>
          <w:b/>
          <w:bCs/>
          <w:color w:val="1D2228"/>
        </w:rPr>
        <w:t xml:space="preserve"> μας. </w:t>
      </w:r>
      <w:r>
        <w:rPr>
          <w:rFonts w:ascii="Arial" w:hAnsi="Arial" w:cs="Arial"/>
          <w:color w:val="1D2228"/>
        </w:rPr>
        <w:t xml:space="preserve">Οι </w:t>
      </w:r>
      <w:proofErr w:type="spellStart"/>
      <w:r>
        <w:rPr>
          <w:rFonts w:ascii="Arial" w:hAnsi="Arial" w:cs="Arial"/>
          <w:color w:val="1D2228"/>
        </w:rPr>
        <w:t>ιϊκές</w:t>
      </w:r>
      <w:proofErr w:type="spellEnd"/>
      <w:r>
        <w:rPr>
          <w:rFonts w:ascii="Arial" w:hAnsi="Arial" w:cs="Arial"/>
          <w:color w:val="1D2228"/>
        </w:rPr>
        <w:t xml:space="preserve"> λοιμώξεις μπορούν να προκαλέσουν επιδράσεις στο </w:t>
      </w:r>
      <w:proofErr w:type="spellStart"/>
      <w:r>
        <w:rPr>
          <w:rFonts w:ascii="Arial" w:hAnsi="Arial" w:cs="Arial"/>
          <w:color w:val="1D2228"/>
        </w:rPr>
        <w:t>γονιδίωμα</w:t>
      </w:r>
      <w:proofErr w:type="spellEnd"/>
      <w:r>
        <w:rPr>
          <w:rFonts w:ascii="Arial" w:hAnsi="Arial" w:cs="Arial"/>
          <w:color w:val="1D2228"/>
        </w:rPr>
        <w:t xml:space="preserve"> ή ανοσολογικές αντιδράσεις πολύ πιο συχνά από τα εμβόλια.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Τα εμβόλια που έχει παραγγείλει η Ευρωπαϊκή Ένωση προέρχονται από έξι εταιρείες και δεν είναι ζώντα εμβόλια </w:t>
      </w:r>
      <w:r>
        <w:rPr>
          <w:rFonts w:ascii="Arial" w:hAnsi="Arial" w:cs="Arial"/>
          <w:b/>
          <w:bCs/>
          <w:color w:val="1D2228"/>
        </w:rPr>
        <w:t>καθώς δεν περιέχουν αδρανοποιημένους ζωντανούς οργανισμούς SARS-COV-2.</w:t>
      </w:r>
      <w:r>
        <w:rPr>
          <w:rFonts w:ascii="Arial" w:hAnsi="Arial" w:cs="Arial"/>
          <w:color w:val="1D2228"/>
        </w:rPr>
        <w:t> </w:t>
      </w:r>
      <w:r>
        <w:rPr>
          <w:rFonts w:ascii="Arial" w:hAnsi="Arial" w:cs="Arial"/>
          <w:b/>
          <w:bCs/>
          <w:color w:val="1D2228"/>
        </w:rPr>
        <w:t>Οι υπάρχουσες μεταλλάξεις του ιού δεν φαίνεται να απειλούν την αποτελεσματικότητα του εμβολίου.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Τα εμβόλια στοχεύουν αποκλειστικά </w:t>
      </w:r>
      <w:r>
        <w:rPr>
          <w:rFonts w:ascii="Arial" w:hAnsi="Arial" w:cs="Arial"/>
          <w:b/>
          <w:bCs/>
          <w:color w:val="1D2228"/>
        </w:rPr>
        <w:t xml:space="preserve">στην πρωτεΐνη ακίδα του </w:t>
      </w:r>
      <w:proofErr w:type="spellStart"/>
      <w:r>
        <w:rPr>
          <w:rFonts w:ascii="Arial" w:hAnsi="Arial" w:cs="Arial"/>
          <w:b/>
          <w:bCs/>
          <w:color w:val="1D2228"/>
        </w:rPr>
        <w:t>κορονοϊού</w:t>
      </w:r>
      <w:proofErr w:type="spellEnd"/>
      <w:r>
        <w:rPr>
          <w:rFonts w:ascii="Arial" w:hAnsi="Arial" w:cs="Arial"/>
          <w:b/>
          <w:bCs/>
          <w:color w:val="1D2228"/>
        </w:rPr>
        <w:t>, δρουν σε τοπικό επίπεδο για μικρό χρονικό διάστημα</w:t>
      </w:r>
      <w:r>
        <w:rPr>
          <w:rFonts w:ascii="Arial" w:hAnsi="Arial" w:cs="Arial"/>
          <w:color w:val="1D2228"/>
        </w:rPr>
        <w:t>, επομένως η παρέμβαση του εμβολίου είναι  αυστηρώς περιορισμένη, ώστε να μην προκαλέσει μεγάλες επιδράσεις στη λειτουργία ή στο αμυντικό σύστημα του ανθρώπινου οργανισμού. </w:t>
      </w:r>
      <w:r>
        <w:rPr>
          <w:rFonts w:ascii="Arial" w:hAnsi="Arial" w:cs="Arial"/>
          <w:b/>
          <w:bCs/>
          <w:color w:val="1D2228"/>
        </w:rPr>
        <w:t xml:space="preserve">Αντίθετα ο </w:t>
      </w:r>
      <w:proofErr w:type="spellStart"/>
      <w:r>
        <w:rPr>
          <w:rFonts w:ascii="Arial" w:hAnsi="Arial" w:cs="Arial"/>
          <w:b/>
          <w:bCs/>
          <w:color w:val="1D2228"/>
        </w:rPr>
        <w:t>κορονοϊός</w:t>
      </w:r>
      <w:proofErr w:type="spellEnd"/>
      <w:r>
        <w:rPr>
          <w:rFonts w:ascii="Arial" w:hAnsi="Arial" w:cs="Arial"/>
          <w:b/>
          <w:bCs/>
          <w:color w:val="1D2228"/>
        </w:rPr>
        <w:t xml:space="preserve"> είναι εξαιρετικά μεταδοτικός και εν δυνάμει θανατηφόρος,</w:t>
      </w:r>
      <w:r>
        <w:rPr>
          <w:rFonts w:ascii="Arial" w:hAnsi="Arial" w:cs="Arial"/>
          <w:color w:val="1D2228"/>
        </w:rPr>
        <w:t xml:space="preserve"> έχει τη </w:t>
      </w:r>
      <w:r>
        <w:rPr>
          <w:rFonts w:ascii="Arial" w:hAnsi="Arial" w:cs="Arial"/>
          <w:color w:val="1D2228"/>
        </w:rPr>
        <w:lastRenderedPageBreak/>
        <w:t>δυνατότητα να ασκεί συστηματική δράση σε όλα τα όργανα και ενδέχεται να αφήνει κατάλοιπα νοσηρότητας σε αρκετούς ασθενείς για μήνες ή χρόνια. </w:t>
      </w:r>
      <w:r>
        <w:rPr>
          <w:rFonts w:ascii="Arial" w:hAnsi="Arial" w:cs="Arial"/>
          <w:b/>
          <w:bCs/>
          <w:color w:val="1D2228"/>
        </w:rPr>
        <w:t xml:space="preserve">Τα πλεονεκτήματα του εμβολιασμού είναι πολλαπλώς μεγαλύτερα από την έλλειψη ανοσίας και την έκθεση στον </w:t>
      </w:r>
      <w:proofErr w:type="spellStart"/>
      <w:r>
        <w:rPr>
          <w:rFonts w:ascii="Arial" w:hAnsi="Arial" w:cs="Arial"/>
          <w:b/>
          <w:bCs/>
          <w:color w:val="1D2228"/>
        </w:rPr>
        <w:t>κορονοϊό</w:t>
      </w:r>
      <w:proofErr w:type="spellEnd"/>
      <w:r>
        <w:rPr>
          <w:rFonts w:ascii="Arial" w:hAnsi="Arial" w:cs="Arial"/>
          <w:b/>
          <w:bCs/>
          <w:color w:val="1D2228"/>
        </w:rPr>
        <w:t>. 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Λόγω έλλειψης επιστημονικών δεδομένων, </w:t>
      </w:r>
      <w:r>
        <w:rPr>
          <w:rFonts w:ascii="Arial" w:hAnsi="Arial" w:cs="Arial"/>
          <w:b/>
          <w:bCs/>
          <w:color w:val="1D2228"/>
        </w:rPr>
        <w:t>δεν θα εμβολιαστούν προς το παρόν παιδιά &lt;18 ετών, έγκυες ή θηλάζουσες γυναίκες.</w:t>
      </w:r>
      <w:r>
        <w:rPr>
          <w:rFonts w:ascii="Arial" w:hAnsi="Arial" w:cs="Arial"/>
          <w:color w:val="1D2228"/>
        </w:rPr>
        <w:t xml:space="preserve"> Θα πρέπει να αποκλεισθεί η εγκυμοσύνη σε γυναίκες αναπαραγωγικής ηλικίας και η περίπτωση οξείας εμπύρετης νόσου πριν τον εμβολιασμό. </w:t>
      </w:r>
      <w:proofErr w:type="spellStart"/>
      <w:r>
        <w:rPr>
          <w:rFonts w:ascii="Arial" w:hAnsi="Arial" w:cs="Arial"/>
          <w:color w:val="1D2228"/>
        </w:rPr>
        <w:t>Ανοσοκατασταλμένα</w:t>
      </w:r>
      <w:proofErr w:type="spellEnd"/>
      <w:r>
        <w:rPr>
          <w:rFonts w:ascii="Arial" w:hAnsi="Arial" w:cs="Arial"/>
          <w:color w:val="1D2228"/>
        </w:rPr>
        <w:t xml:space="preserve"> άτομα θα ενταχθούν στο εμβολιαστικό πρόγραμμα αλλά ενδεχομένως να μην υπάρχει ικανοποιητική ανοσολογική απάντηση</w:t>
      </w:r>
      <w:r>
        <w:rPr>
          <w:rFonts w:ascii="Arial" w:hAnsi="Arial" w:cs="Arial"/>
          <w:b/>
          <w:bCs/>
          <w:color w:val="1D2228"/>
        </w:rPr>
        <w:t>.   </w:t>
      </w:r>
      <w:r>
        <w:rPr>
          <w:rFonts w:ascii="Arial" w:hAnsi="Arial" w:cs="Arial"/>
          <w:color w:val="1D2228"/>
        </w:rPr>
        <w:t>Η λήψη αντιπηκτικής αγωγής δεν αποτελεί αντένδειξη για τον εμβολιασμό. Σύμφωνα με το </w:t>
      </w:r>
      <w:r>
        <w:rPr>
          <w:rFonts w:ascii="Arial" w:hAnsi="Arial" w:cs="Arial"/>
          <w:color w:val="1D2228"/>
          <w:lang w:val="en-US"/>
        </w:rPr>
        <w:t>CDC</w:t>
      </w:r>
      <w:r>
        <w:rPr>
          <w:rFonts w:ascii="Arial" w:hAnsi="Arial" w:cs="Arial"/>
          <w:color w:val="1D2228"/>
        </w:rPr>
        <w:t> (</w:t>
      </w:r>
      <w:proofErr w:type="spellStart"/>
      <w:r>
        <w:rPr>
          <w:rFonts w:ascii="Arial" w:hAnsi="Arial" w:cs="Arial"/>
          <w:color w:val="1D2228"/>
        </w:rPr>
        <w:fldChar w:fldCharType="begin"/>
      </w:r>
      <w:r>
        <w:rPr>
          <w:rFonts w:ascii="Arial" w:hAnsi="Arial" w:cs="Arial"/>
          <w:color w:val="1D2228"/>
        </w:rPr>
        <w:instrText xml:space="preserve"> HYPERLINK "https://en.wikipedia.org/wiki/Centers_for_Disease_Control_and_Prevention" \o "" \t "_blank" </w:instrText>
      </w:r>
      <w:r>
        <w:rPr>
          <w:rFonts w:ascii="Arial" w:hAnsi="Arial" w:cs="Arial"/>
          <w:color w:val="1D2228"/>
        </w:rPr>
        <w:fldChar w:fldCharType="separate"/>
      </w:r>
      <w:r>
        <w:rPr>
          <w:rStyle w:val="-"/>
          <w:rFonts w:ascii="Arial" w:hAnsi="Arial" w:cs="Arial"/>
        </w:rPr>
        <w:t>Centers</w:t>
      </w:r>
      <w:proofErr w:type="spellEnd"/>
      <w:r>
        <w:rPr>
          <w:rStyle w:val="-"/>
          <w:rFonts w:ascii="Arial" w:hAnsi="Arial" w:cs="Arial"/>
        </w:rPr>
        <w:t xml:space="preserve"> </w:t>
      </w:r>
      <w:proofErr w:type="spellStart"/>
      <w:r>
        <w:rPr>
          <w:rStyle w:val="-"/>
          <w:rFonts w:ascii="Arial" w:hAnsi="Arial" w:cs="Arial"/>
        </w:rPr>
        <w:t>for</w:t>
      </w:r>
      <w:proofErr w:type="spellEnd"/>
      <w:r>
        <w:rPr>
          <w:rStyle w:val="-"/>
          <w:rFonts w:ascii="Arial" w:hAnsi="Arial" w:cs="Arial"/>
        </w:rPr>
        <w:t xml:space="preserve"> </w:t>
      </w:r>
      <w:proofErr w:type="spellStart"/>
      <w:r>
        <w:rPr>
          <w:rStyle w:val="-"/>
          <w:rFonts w:ascii="Arial" w:hAnsi="Arial" w:cs="Arial"/>
        </w:rPr>
        <w:t>Disease</w:t>
      </w:r>
      <w:proofErr w:type="spellEnd"/>
      <w:r>
        <w:rPr>
          <w:rStyle w:val="-"/>
          <w:rFonts w:ascii="Arial" w:hAnsi="Arial" w:cs="Arial"/>
        </w:rPr>
        <w:t xml:space="preserve"> </w:t>
      </w:r>
      <w:proofErr w:type="spellStart"/>
      <w:r>
        <w:rPr>
          <w:rStyle w:val="-"/>
          <w:rFonts w:ascii="Arial" w:hAnsi="Arial" w:cs="Arial"/>
        </w:rPr>
        <w:t>Control</w:t>
      </w:r>
      <w:proofErr w:type="spellEnd"/>
      <w:r>
        <w:rPr>
          <w:rStyle w:val="-"/>
          <w:rFonts w:ascii="Arial" w:hAnsi="Arial" w:cs="Arial"/>
        </w:rPr>
        <w:t xml:space="preserve"> </w:t>
      </w:r>
      <w:proofErr w:type="spellStart"/>
      <w:r>
        <w:rPr>
          <w:rStyle w:val="-"/>
          <w:rFonts w:ascii="Arial" w:hAnsi="Arial" w:cs="Arial"/>
        </w:rPr>
        <w:t>and</w:t>
      </w:r>
      <w:proofErr w:type="spellEnd"/>
      <w:r>
        <w:rPr>
          <w:rStyle w:val="-"/>
          <w:rFonts w:ascii="Arial" w:hAnsi="Arial" w:cs="Arial"/>
        </w:rPr>
        <w:t xml:space="preserve"> </w:t>
      </w:r>
      <w:proofErr w:type="spellStart"/>
      <w:r>
        <w:rPr>
          <w:rStyle w:val="-"/>
          <w:rFonts w:ascii="Arial" w:hAnsi="Arial" w:cs="Arial"/>
        </w:rPr>
        <w:t>Prevention</w:t>
      </w:r>
      <w:proofErr w:type="spellEnd"/>
      <w:r>
        <w:rPr>
          <w:rFonts w:ascii="Arial" w:hAnsi="Arial" w:cs="Arial"/>
          <w:color w:val="1D2228"/>
        </w:rPr>
        <w:fldChar w:fldCharType="end"/>
      </w:r>
      <w:r>
        <w:rPr>
          <w:rFonts w:ascii="Arial" w:hAnsi="Arial" w:cs="Arial"/>
          <w:color w:val="1D2228"/>
        </w:rPr>
        <w:t xml:space="preserve">) και την Ελληνική Εταιρεία </w:t>
      </w:r>
      <w:proofErr w:type="spellStart"/>
      <w:r>
        <w:rPr>
          <w:rFonts w:ascii="Arial" w:hAnsi="Arial" w:cs="Arial"/>
          <w:color w:val="1D2228"/>
        </w:rPr>
        <w:t>Αλλεργιολογίας</w:t>
      </w:r>
      <w:proofErr w:type="spellEnd"/>
      <w:r>
        <w:rPr>
          <w:rFonts w:ascii="Arial" w:hAnsi="Arial" w:cs="Arial"/>
          <w:color w:val="1D2228"/>
        </w:rPr>
        <w:t xml:space="preserve"> και Κλινικής Ανοσολογίας, άτομα με τις γνωστές συνήθεις αλλεργίες της κοινότητας μπορούν να εμβολιαστούν. 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b/>
          <w:bCs/>
          <w:color w:val="1D2228"/>
        </w:rPr>
        <w:t>Οι παρενέργειες των εμβολίων είναι ακριβώς οι ίδιες στα δύο εγκεκριμένα εμβόλια, με ήπιες και παροδικές τοπικές ή συστηματικές επιδράσεις,</w:t>
      </w:r>
      <w:r>
        <w:rPr>
          <w:rFonts w:ascii="Arial" w:hAnsi="Arial" w:cs="Arial"/>
          <w:color w:val="1D2228"/>
        </w:rPr>
        <w:t> όπως προκύπτει από τα δεδομένα του παγκόσμιου εμβολιασμού &gt; 4 εκατομμυρίων πληθυσμού.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b/>
          <w:bCs/>
          <w:color w:val="1D2228"/>
        </w:rPr>
        <w:t>Καμία δόση εμβολίου και κανένα ραντεβού δεν πρέπει να χαθεί καθώς το εμβόλιο</w:t>
      </w:r>
      <w:r>
        <w:rPr>
          <w:rFonts w:ascii="Arial" w:hAnsi="Arial" w:cs="Arial"/>
          <w:color w:val="1D2228"/>
        </w:rPr>
        <w:t> πρέπει να χορηγηθεί εντός ωρών από τη στιγμή της ανασύστασής του. </w:t>
      </w:r>
      <w:r>
        <w:rPr>
          <w:rFonts w:ascii="Arial" w:hAnsi="Arial" w:cs="Arial"/>
          <w:b/>
          <w:bCs/>
          <w:color w:val="1D2228"/>
        </w:rPr>
        <w:t>Δεν επιτρέπεται η εναλλαγή εμβολίων κατά του SARS-COV-2 από διαφορετικές εταιρείες. Θα πρέπει να αποφευχθεί ο συνδυασμός με τον προγραμματισμό άλλων εμβολίων (απόσταση 2 εβδομάδων).  Δεν υπάρχει η δυνατότητα επιλογής του εμβολίου από τους πολίτες.</w:t>
      </w:r>
      <w:r>
        <w:rPr>
          <w:rFonts w:ascii="Arial" w:hAnsi="Arial" w:cs="Arial"/>
          <w:color w:val="1D2228"/>
        </w:rPr>
        <w:t> Η δεύτερη δόση του εμβολίου της ίδιας εταιρείας θα είναι δεσμευμένη από την αρχή για τους πολίτες που έχουν ήδη εμβολιαστεί. </w:t>
      </w:r>
      <w:r>
        <w:rPr>
          <w:rFonts w:ascii="Arial" w:hAnsi="Arial" w:cs="Arial"/>
          <w:b/>
          <w:bCs/>
          <w:color w:val="1D2228"/>
        </w:rPr>
        <w:t xml:space="preserve">Η </w:t>
      </w:r>
      <w:proofErr w:type="spellStart"/>
      <w:r>
        <w:rPr>
          <w:rFonts w:ascii="Arial" w:hAnsi="Arial" w:cs="Arial"/>
          <w:b/>
          <w:bCs/>
          <w:color w:val="1D2228"/>
        </w:rPr>
        <w:t>ανοσιακή</w:t>
      </w:r>
      <w:proofErr w:type="spellEnd"/>
      <w:r>
        <w:rPr>
          <w:rFonts w:ascii="Arial" w:hAnsi="Arial" w:cs="Arial"/>
          <w:b/>
          <w:bCs/>
          <w:color w:val="1D2228"/>
        </w:rPr>
        <w:t xml:space="preserve"> απάντηση ξεκινάει από την 10 ημέρα από την 1η δόση και ολοκληρώνεται μετά τη 10</w:t>
      </w:r>
      <w:r>
        <w:rPr>
          <w:rFonts w:ascii="Arial" w:hAnsi="Arial" w:cs="Arial"/>
          <w:b/>
          <w:bCs/>
          <w:color w:val="1D2228"/>
          <w:vertAlign w:val="superscript"/>
        </w:rPr>
        <w:t>η</w:t>
      </w:r>
      <w:r>
        <w:rPr>
          <w:rFonts w:ascii="Arial" w:hAnsi="Arial" w:cs="Arial"/>
          <w:b/>
          <w:bCs/>
          <w:color w:val="1D2228"/>
        </w:rPr>
        <w:t> ημέρα από τη 2</w:t>
      </w:r>
      <w:r>
        <w:rPr>
          <w:rFonts w:ascii="Arial" w:hAnsi="Arial" w:cs="Arial"/>
          <w:b/>
          <w:bCs/>
          <w:color w:val="1D2228"/>
          <w:vertAlign w:val="superscript"/>
        </w:rPr>
        <w:t>η</w:t>
      </w:r>
      <w:r>
        <w:rPr>
          <w:rFonts w:ascii="Arial" w:hAnsi="Arial" w:cs="Arial"/>
          <w:b/>
          <w:bCs/>
          <w:color w:val="1D2228"/>
        </w:rPr>
        <w:t> δόση του εμβολίου.</w:t>
      </w:r>
    </w:p>
    <w:p w:rsidR="0036696B" w:rsidRDefault="0036696B" w:rsidP="0036696B">
      <w:pPr>
        <w:pStyle w:val="yiv2259507835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New" w:hAnsi="New"/>
          <w:color w:val="1D2228"/>
        </w:rPr>
      </w:pPr>
      <w:r>
        <w:rPr>
          <w:rFonts w:ascii="Arial" w:hAnsi="Arial" w:cs="Arial"/>
          <w:b/>
          <w:bCs/>
          <w:color w:val="1D2228"/>
        </w:rPr>
        <w:t>Όσοι άνθρωποι έχουν χρόνια νοσήματα, ανήκουν σε ευπαθείς ομάδες ή έχουν αλλεργική προδιάθεση</w:t>
      </w:r>
      <w:r>
        <w:rPr>
          <w:rFonts w:ascii="Arial" w:hAnsi="Arial" w:cs="Arial"/>
          <w:color w:val="1D2228"/>
        </w:rPr>
        <w:t> θα πρέπει να αναζητήσουν τη γνώμη του θεράποντος ιατρού πριν εμβολιαστούν. Η αναφυλαξία εμφανίζεται σπανίως και έχουν δοθεί σαφείς οδηγίες αντιμετώπισης στα εμβολιαστικά κέντρα.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ind w:left="720"/>
        <w:jc w:val="both"/>
        <w:rPr>
          <w:rFonts w:ascii="New" w:hAnsi="New"/>
          <w:color w:val="1D2228"/>
        </w:rPr>
      </w:pP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ind w:left="360"/>
        <w:jc w:val="both"/>
        <w:rPr>
          <w:rFonts w:ascii="New" w:hAnsi="New"/>
          <w:color w:val="1D2228"/>
        </w:rPr>
      </w:pPr>
      <w:r>
        <w:rPr>
          <w:rFonts w:ascii="Arial" w:hAnsi="Arial" w:cs="Arial"/>
          <w:color w:val="1D2228"/>
        </w:rPr>
        <w:t>Η επιστροφή στην κανονικότητα είναι ένα ταξίδι που ανήκει σε όλους μας. Σύμφωνα με τον ΠΟΥ, "</w:t>
      </w:r>
      <w:r>
        <w:rPr>
          <w:rFonts w:ascii="Arial" w:hAnsi="Arial" w:cs="Arial"/>
          <w:b/>
          <w:bCs/>
          <w:color w:val="1D2228"/>
        </w:rPr>
        <w:t>κανένας δεν είναι ασφαλής μέχρι να είναι όλοι ασφαλείς".</w:t>
      </w:r>
      <w:r>
        <w:rPr>
          <w:rFonts w:ascii="Arial" w:hAnsi="Arial" w:cs="Arial"/>
          <w:color w:val="1D2228"/>
        </w:rPr>
        <w:t> Τα μέτρα ατομικής προστασίας θα συνεχίσουν να υφίστανται μετά τον εμβολιασμό, μέχρι να υπάρχουν επαρκή επιδημιολογικά δεδομένα προστασίας της κοινότητας.</w:t>
      </w:r>
    </w:p>
    <w:p w:rsidR="0036696B" w:rsidRDefault="0036696B" w:rsidP="0036696B">
      <w:pPr>
        <w:pStyle w:val="yiv2259507835msonormal"/>
        <w:shd w:val="clear" w:color="auto" w:fill="FFFFFF"/>
        <w:spacing w:before="0" w:beforeAutospacing="0" w:after="0" w:afterAutospacing="0"/>
        <w:ind w:left="360"/>
        <w:jc w:val="both"/>
        <w:rPr>
          <w:rFonts w:ascii="New" w:hAnsi="New"/>
          <w:color w:val="1D2228"/>
        </w:rPr>
      </w:pPr>
    </w:p>
    <w:p w:rsidR="0036696B" w:rsidRDefault="0036696B" w:rsidP="00463405">
      <w:pPr>
        <w:shd w:val="clear" w:color="auto" w:fill="FFFFFF"/>
        <w:rPr>
          <w:rFonts w:ascii="Century Gothic" w:eastAsia="Times New Roman" w:hAnsi="Century Gothic" w:cs="Helvetica"/>
          <w:color w:val="1D2228"/>
          <w:sz w:val="26"/>
          <w:szCs w:val="26"/>
          <w:lang w:eastAsia="el-GR"/>
        </w:rPr>
      </w:pPr>
    </w:p>
    <w:p w:rsidR="00463405" w:rsidRPr="00463405" w:rsidRDefault="00463405" w:rsidP="0036696B">
      <w:pPr>
        <w:shd w:val="clear" w:color="auto" w:fill="FFFFFF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</w:p>
    <w:p w:rsidR="00463405" w:rsidRDefault="00463405" w:rsidP="00463405">
      <w:pPr>
        <w:shd w:val="clear" w:color="auto" w:fill="FFFFFF"/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  <w:r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>Η Πρόεδρος          Ο Αντιπρόεδρος       Ο Γραμματέας</w:t>
      </w:r>
    </w:p>
    <w:p w:rsidR="00463405" w:rsidRPr="00463405" w:rsidRDefault="00463405" w:rsidP="00463405">
      <w:pPr>
        <w:shd w:val="clear" w:color="auto" w:fill="FFFFFF"/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</w:p>
    <w:p w:rsidR="00463405" w:rsidRDefault="00463405" w:rsidP="00463405">
      <w:pPr>
        <w:shd w:val="clear" w:color="auto" w:fill="FFFFFF"/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</w:p>
    <w:p w:rsidR="00463405" w:rsidRPr="00463405" w:rsidRDefault="00463405" w:rsidP="00463405">
      <w:pPr>
        <w:shd w:val="clear" w:color="auto" w:fill="FFFFFF"/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</w:p>
    <w:p w:rsidR="00463405" w:rsidRPr="00463405" w:rsidRDefault="00463405" w:rsidP="00463405">
      <w:pPr>
        <w:shd w:val="clear" w:color="auto" w:fill="FFFFFF"/>
        <w:jc w:val="center"/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</w:pPr>
      <w:r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 xml:space="preserve">Άννα Μαστοράκου Γεώργιος </w:t>
      </w:r>
      <w:proofErr w:type="spellStart"/>
      <w:r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>Σκρουμπής</w:t>
      </w:r>
      <w:proofErr w:type="spellEnd"/>
      <w:r w:rsidRPr="00463405">
        <w:rPr>
          <w:rFonts w:ascii="Century Gothic" w:eastAsia="Times New Roman" w:hAnsi="Century Gothic" w:cs="Helvetica"/>
          <w:b/>
          <w:color w:val="1D2228"/>
          <w:sz w:val="26"/>
          <w:szCs w:val="26"/>
          <w:lang w:eastAsia="el-GR"/>
        </w:rPr>
        <w:t xml:space="preserve"> Γεώργιος Πατριαρχέας</w:t>
      </w:r>
    </w:p>
    <w:p w:rsidR="009120F0" w:rsidRDefault="009120F0" w:rsidP="00912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  <w:sz w:val="22"/>
          <w:szCs w:val="20"/>
          <w:lang w:eastAsia="el-GR"/>
        </w:rPr>
      </w:pPr>
      <w:r w:rsidRPr="00D1729C">
        <w:rPr>
          <w:rFonts w:ascii="Helvetica" w:eastAsia="Times New Roman" w:hAnsi="Helvetica"/>
          <w:color w:val="000000"/>
          <w:sz w:val="22"/>
          <w:szCs w:val="20"/>
          <w:lang w:eastAsia="el-GR"/>
        </w:rPr>
        <w:t> </w:t>
      </w:r>
    </w:p>
    <w:p w:rsidR="00297A4E" w:rsidRPr="00A7474B" w:rsidRDefault="00A7474B" w:rsidP="00297A4E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bCs/>
          <w:color w:val="222222"/>
          <w:lang w:val="en-US"/>
        </w:rPr>
      </w:pPr>
      <w:hyperlink r:id="rId7" w:history="1">
        <w:r w:rsidRPr="00A7474B">
          <w:rPr>
            <w:rStyle w:val="-"/>
            <w:rFonts w:ascii="Arial Unicode MS" w:eastAsia="Arial Unicode MS" w:hAnsi="Arial Unicode MS" w:cs="Arial Unicode MS"/>
            <w:b/>
            <w:bCs/>
            <w:lang w:val="en-US"/>
          </w:rPr>
          <w:t>VIDEO</w:t>
        </w:r>
      </w:hyperlink>
    </w:p>
    <w:sectPr w:rsidR="00297A4E" w:rsidRPr="00A7474B" w:rsidSect="0036696B">
      <w:headerReference w:type="default" r:id="rId8"/>
      <w:pgSz w:w="11906" w:h="16838"/>
      <w:pgMar w:top="1078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F4" w:rsidRDefault="005361F4" w:rsidP="00EA141B">
      <w:r>
        <w:separator/>
      </w:r>
    </w:p>
  </w:endnote>
  <w:endnote w:type="continuationSeparator" w:id="0">
    <w:p w:rsidR="005361F4" w:rsidRDefault="005361F4" w:rsidP="00EA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F4" w:rsidRDefault="005361F4" w:rsidP="00EA141B">
      <w:r>
        <w:separator/>
      </w:r>
    </w:p>
  </w:footnote>
  <w:footnote w:type="continuationSeparator" w:id="0">
    <w:p w:rsidR="005361F4" w:rsidRDefault="005361F4" w:rsidP="00EA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C3" w:rsidRDefault="00B223CE" w:rsidP="00EA141B">
    <w:pPr>
      <w:pStyle w:val="a4"/>
      <w:jc w:val="right"/>
    </w:pPr>
    <w:fldSimple w:instr=" PAGE   \* MERGEFORMAT ">
      <w:r w:rsidR="00A747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A29"/>
    <w:multiLevelType w:val="hybridMultilevel"/>
    <w:tmpl w:val="92543878"/>
    <w:lvl w:ilvl="0" w:tplc="9592890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A8292D"/>
    <w:multiLevelType w:val="hybridMultilevel"/>
    <w:tmpl w:val="95869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2D65"/>
    <w:multiLevelType w:val="multilevel"/>
    <w:tmpl w:val="791E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67F12"/>
    <w:multiLevelType w:val="hybridMultilevel"/>
    <w:tmpl w:val="4E0A69CC"/>
    <w:lvl w:ilvl="0" w:tplc="540E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5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EC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A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D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E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2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2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87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E157C"/>
    <w:multiLevelType w:val="hybridMultilevel"/>
    <w:tmpl w:val="9C4CB44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8474C"/>
    <w:multiLevelType w:val="hybridMultilevel"/>
    <w:tmpl w:val="3D240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108"/>
    <w:multiLevelType w:val="hybridMultilevel"/>
    <w:tmpl w:val="A97EE0EC"/>
    <w:lvl w:ilvl="0" w:tplc="0AB88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E5B2C"/>
    <w:multiLevelType w:val="hybridMultilevel"/>
    <w:tmpl w:val="D440296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026E4E"/>
    <w:multiLevelType w:val="multilevel"/>
    <w:tmpl w:val="0E2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15A"/>
    <w:rsid w:val="0003732D"/>
    <w:rsid w:val="00041558"/>
    <w:rsid w:val="00056F83"/>
    <w:rsid w:val="000C1DF8"/>
    <w:rsid w:val="000F730F"/>
    <w:rsid w:val="001267C9"/>
    <w:rsid w:val="00141776"/>
    <w:rsid w:val="001518BE"/>
    <w:rsid w:val="00181503"/>
    <w:rsid w:val="001E0D9A"/>
    <w:rsid w:val="001E19E2"/>
    <w:rsid w:val="001E1D9C"/>
    <w:rsid w:val="001F502C"/>
    <w:rsid w:val="00215AA9"/>
    <w:rsid w:val="00223781"/>
    <w:rsid w:val="00225987"/>
    <w:rsid w:val="00237789"/>
    <w:rsid w:val="0027304E"/>
    <w:rsid w:val="00297A4E"/>
    <w:rsid w:val="002B0CF4"/>
    <w:rsid w:val="002D383A"/>
    <w:rsid w:val="002F2C15"/>
    <w:rsid w:val="002F3722"/>
    <w:rsid w:val="00336328"/>
    <w:rsid w:val="00336700"/>
    <w:rsid w:val="00343BCA"/>
    <w:rsid w:val="0036696B"/>
    <w:rsid w:val="00386202"/>
    <w:rsid w:val="003A45D3"/>
    <w:rsid w:val="003C3014"/>
    <w:rsid w:val="00400F29"/>
    <w:rsid w:val="00401234"/>
    <w:rsid w:val="00411C0E"/>
    <w:rsid w:val="00427B6C"/>
    <w:rsid w:val="0044278A"/>
    <w:rsid w:val="00463405"/>
    <w:rsid w:val="00476A1B"/>
    <w:rsid w:val="00485485"/>
    <w:rsid w:val="004B0B28"/>
    <w:rsid w:val="004B3337"/>
    <w:rsid w:val="004B40A8"/>
    <w:rsid w:val="004E2B62"/>
    <w:rsid w:val="004E328C"/>
    <w:rsid w:val="004F4606"/>
    <w:rsid w:val="005136EE"/>
    <w:rsid w:val="005361F4"/>
    <w:rsid w:val="005641F2"/>
    <w:rsid w:val="005B2DE5"/>
    <w:rsid w:val="005E3EE0"/>
    <w:rsid w:val="005E5726"/>
    <w:rsid w:val="00635254"/>
    <w:rsid w:val="006454AF"/>
    <w:rsid w:val="00653275"/>
    <w:rsid w:val="0068748C"/>
    <w:rsid w:val="00687560"/>
    <w:rsid w:val="006B312C"/>
    <w:rsid w:val="006B76C9"/>
    <w:rsid w:val="006C25E8"/>
    <w:rsid w:val="006C2D7A"/>
    <w:rsid w:val="006E57C7"/>
    <w:rsid w:val="00732D2D"/>
    <w:rsid w:val="00740471"/>
    <w:rsid w:val="007E7DCC"/>
    <w:rsid w:val="00887DA1"/>
    <w:rsid w:val="008A4D30"/>
    <w:rsid w:val="008A5632"/>
    <w:rsid w:val="00907CCD"/>
    <w:rsid w:val="009120F0"/>
    <w:rsid w:val="009170F8"/>
    <w:rsid w:val="00927727"/>
    <w:rsid w:val="00933472"/>
    <w:rsid w:val="00950EE4"/>
    <w:rsid w:val="00962C2D"/>
    <w:rsid w:val="00981668"/>
    <w:rsid w:val="00991E0A"/>
    <w:rsid w:val="009B01E1"/>
    <w:rsid w:val="009D5F64"/>
    <w:rsid w:val="009E14D5"/>
    <w:rsid w:val="009F66BF"/>
    <w:rsid w:val="00A01A14"/>
    <w:rsid w:val="00A13EEA"/>
    <w:rsid w:val="00A271B2"/>
    <w:rsid w:val="00A30177"/>
    <w:rsid w:val="00A7474B"/>
    <w:rsid w:val="00A9315A"/>
    <w:rsid w:val="00AB728F"/>
    <w:rsid w:val="00AD17EC"/>
    <w:rsid w:val="00AF439C"/>
    <w:rsid w:val="00B223CE"/>
    <w:rsid w:val="00B356D6"/>
    <w:rsid w:val="00B36980"/>
    <w:rsid w:val="00B550BE"/>
    <w:rsid w:val="00B66D2C"/>
    <w:rsid w:val="00B85271"/>
    <w:rsid w:val="00BA29F6"/>
    <w:rsid w:val="00BA6FCB"/>
    <w:rsid w:val="00C41EE0"/>
    <w:rsid w:val="00C52BA9"/>
    <w:rsid w:val="00C540B5"/>
    <w:rsid w:val="00CA4BAB"/>
    <w:rsid w:val="00CE3EC0"/>
    <w:rsid w:val="00D123AF"/>
    <w:rsid w:val="00D134E5"/>
    <w:rsid w:val="00D1729C"/>
    <w:rsid w:val="00D23572"/>
    <w:rsid w:val="00D33B75"/>
    <w:rsid w:val="00D56CD1"/>
    <w:rsid w:val="00D7410A"/>
    <w:rsid w:val="00D85E93"/>
    <w:rsid w:val="00D92117"/>
    <w:rsid w:val="00DC3D3E"/>
    <w:rsid w:val="00DC7E93"/>
    <w:rsid w:val="00DD1E62"/>
    <w:rsid w:val="00DF5E6E"/>
    <w:rsid w:val="00E018A2"/>
    <w:rsid w:val="00E042E5"/>
    <w:rsid w:val="00E33899"/>
    <w:rsid w:val="00E35E8D"/>
    <w:rsid w:val="00E473B5"/>
    <w:rsid w:val="00E605DD"/>
    <w:rsid w:val="00E70A76"/>
    <w:rsid w:val="00E953BD"/>
    <w:rsid w:val="00EA141B"/>
    <w:rsid w:val="00EC2417"/>
    <w:rsid w:val="00EC3855"/>
    <w:rsid w:val="00EC55D2"/>
    <w:rsid w:val="00EE4CE7"/>
    <w:rsid w:val="00F0144A"/>
    <w:rsid w:val="00F10DE3"/>
    <w:rsid w:val="00FA7A8B"/>
    <w:rsid w:val="00FE32F6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3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2D2D"/>
    <w:rPr>
      <w:color w:val="0000FF"/>
      <w:u w:val="single"/>
    </w:rPr>
  </w:style>
  <w:style w:type="table" w:styleId="a3">
    <w:name w:val="Table Grid"/>
    <w:basedOn w:val="a1"/>
    <w:rsid w:val="0012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4A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ko-KR"/>
    </w:rPr>
  </w:style>
  <w:style w:type="paragraph" w:styleId="a4">
    <w:name w:val="header"/>
    <w:basedOn w:val="a"/>
    <w:link w:val="Char"/>
    <w:rsid w:val="00EA14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A141B"/>
    <w:rPr>
      <w:sz w:val="24"/>
      <w:szCs w:val="24"/>
      <w:lang w:eastAsia="ko-KR"/>
    </w:rPr>
  </w:style>
  <w:style w:type="paragraph" w:styleId="a5">
    <w:name w:val="footer"/>
    <w:basedOn w:val="a"/>
    <w:link w:val="Char0"/>
    <w:rsid w:val="00EA14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A141B"/>
    <w:rPr>
      <w:sz w:val="24"/>
      <w:szCs w:val="24"/>
      <w:lang w:eastAsia="ko-KR"/>
    </w:rPr>
  </w:style>
  <w:style w:type="paragraph" w:customStyle="1" w:styleId="yiv0657548689msonormal">
    <w:name w:val="yiv0657548689msonormal"/>
    <w:basedOn w:val="a"/>
    <w:rsid w:val="00AD17EC"/>
    <w:pPr>
      <w:spacing w:before="100" w:beforeAutospacing="1" w:after="100" w:afterAutospacing="1"/>
    </w:pPr>
    <w:rPr>
      <w:rFonts w:eastAsia="Times New Roman"/>
      <w:lang w:eastAsia="el-GR"/>
    </w:rPr>
  </w:style>
  <w:style w:type="paragraph" w:styleId="Web">
    <w:name w:val="Normal (Web)"/>
    <w:basedOn w:val="a"/>
    <w:uiPriority w:val="99"/>
    <w:unhideWhenUsed/>
    <w:rsid w:val="00D92117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6">
    <w:name w:val="Strong"/>
    <w:basedOn w:val="a0"/>
    <w:uiPriority w:val="22"/>
    <w:qFormat/>
    <w:rsid w:val="00D92117"/>
    <w:rPr>
      <w:b/>
      <w:bCs/>
    </w:rPr>
  </w:style>
  <w:style w:type="paragraph" w:styleId="a7">
    <w:name w:val="List Paragraph"/>
    <w:basedOn w:val="a"/>
    <w:uiPriority w:val="34"/>
    <w:qFormat/>
    <w:rsid w:val="00DC3D3E"/>
    <w:pPr>
      <w:ind w:left="720"/>
      <w:contextualSpacing/>
    </w:pPr>
  </w:style>
  <w:style w:type="paragraph" w:customStyle="1" w:styleId="yiv2245494521msonormal">
    <w:name w:val="yiv2245494521msonormal"/>
    <w:basedOn w:val="a"/>
    <w:rsid w:val="009120F0"/>
    <w:pPr>
      <w:spacing w:before="100" w:beforeAutospacing="1" w:after="100" w:afterAutospacing="1"/>
    </w:pPr>
    <w:rPr>
      <w:rFonts w:eastAsia="Times New Roman"/>
      <w:lang w:eastAsia="el-GR"/>
    </w:rPr>
  </w:style>
  <w:style w:type="paragraph" w:customStyle="1" w:styleId="yiv2259507835msonormal">
    <w:name w:val="yiv2259507835msonormal"/>
    <w:basedOn w:val="a"/>
    <w:rsid w:val="0036696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9U4iLjc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Ενημέρωση και οδηγίες προστασίας από τις ιοντίζουσες και μη ιοντίζουσες ακτινοβολίες</vt:lpstr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Ενημέρωση και οδηγίες προστασίας από τις ιοντίζουσες και μη ιοντίζουσες ακτινοβολίες</dc:title>
  <dc:creator>IATRIKOS SYLLOGOS PATRON</dc:creator>
  <cp:lastModifiedBy>IATRIKOS SYLLOGOS PATRON</cp:lastModifiedBy>
  <cp:revision>4</cp:revision>
  <cp:lastPrinted>2020-12-28T06:09:00Z</cp:lastPrinted>
  <dcterms:created xsi:type="dcterms:W3CDTF">2020-12-28T06:08:00Z</dcterms:created>
  <dcterms:modified xsi:type="dcterms:W3CDTF">2020-12-28T06:21:00Z</dcterms:modified>
</cp:coreProperties>
</file>